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http://schemas.openxmlformats.org/wordprocessingml/2006/main" xmlns:r="http://schemas.openxmlformats.org/officeDocument/2006/relationships">
  <w:body>
    <w:p>
      <w:pPr>
        <w:spacing w:before="480" w:after="480" w:line="288" w:lineRule="auto"/>
        <w:ind w:left="0"/>
      </w:pPr>
      <w:r>
        <w:rPr>
          <w:rFonts w:eastAsia="等线" w:ascii="Arial" w:cs="Arial" w:hAnsi="Arial"/>
          <w:b w:val="true"/>
          <w:sz w:val="52"/>
        </w:rPr>
        <w:t>A Comparative Study of English Expressions for Seasonal Customs between China</w:t>
      </w:r>
      <w:r>
        <w:rPr>
          <w:rFonts w:eastAsia="等线" w:ascii="Arial" w:cs="Arial" w:hAnsi="Arial"/>
          <w:b w:val="true"/>
          <w:sz w:val="52"/>
        </w:rPr>
        <w:t xml:space="preserve"> and the West</w:t>
      </w:r>
    </w:p>
    <w:p>
      <w:pPr>
        <w:spacing w:before="120" w:after="120" w:line="288" w:lineRule="auto"/>
        <w:ind w:left="0"/>
        <w:jc w:val="left"/>
      </w:pPr>
      <w:r>
        <w:rPr>
          <w:rFonts w:eastAsia="等线" w:ascii="Arial" w:cs="Arial" w:hAnsi="Arial"/>
          <w:sz w:val="22"/>
        </w:rPr>
        <w:t>——Proposal for the Research Project</w:t>
      </w:r>
    </w:p>
    <w:p>
      <w:pPr>
        <w:spacing w:before="120" w:after="120" w:line="288" w:lineRule="auto"/>
        <w:ind w:left="0"/>
        <w:jc w:val="left"/>
      </w:pPr>
      <w:r>
        <w:rPr>
          <w:rFonts w:eastAsia="等线" w:ascii="Arial" w:cs="Arial" w:hAnsi="Arial"/>
          <w:sz w:val="22"/>
        </w:rPr>
        <w:t>Class: Class 3, Grade 8</w:t>
      </w:r>
    </w:p>
    <w:p>
      <w:pPr>
        <w:spacing w:before="120" w:after="120" w:line="288" w:lineRule="auto"/>
        <w:ind w:left="0"/>
        <w:jc w:val="left"/>
      </w:pPr>
      <w:r>
        <w:rPr>
          <w:rFonts w:eastAsia="等线" w:ascii="Arial" w:cs="Arial" w:hAnsi="Arial"/>
          <w:sz w:val="22"/>
        </w:rPr>
        <w:t>Name: Zhang Yiran</w:t>
      </w:r>
    </w:p>
    <w:p>
      <w:pPr>
        <w:spacing w:before="120" w:after="120" w:line="288" w:lineRule="auto"/>
        <w:ind w:left="0"/>
        <w:jc w:val="left"/>
      </w:pPr>
      <w:r>
        <w:rPr>
          <w:rFonts w:eastAsia="等线" w:ascii="Arial" w:cs="Arial" w:hAnsi="Arial"/>
          <w:sz w:val="22"/>
        </w:rPr>
        <w:t>Supervisor: ________</w:t>
      </w:r>
    </w:p>
    <w:p>
      <w:pPr>
        <w:spacing w:before="120" w:after="120" w:line="288" w:lineRule="auto"/>
        <w:ind w:left="0"/>
        <w:jc w:val="left"/>
      </w:pPr>
      <w:r>
        <w:rPr>
          <w:rFonts w:eastAsia="等线" w:ascii="Arial" w:cs="Arial" w:hAnsi="Arial"/>
          <w:sz w:val="22"/>
        </w:rPr>
        <w:t>Date: February 2026</w:t>
      </w:r>
    </w:p>
    <w:p>
      <w:pPr>
        <w:pStyle w:val="2"/>
        <w:spacing w:before="320" w:after="120" w:line="288" w:lineRule="auto"/>
        <w:ind w:left="0"/>
        <w:jc w:val="left"/>
        <w:outlineLvl w:val="1"/>
      </w:pPr>
      <w:bookmarkStart w:name="heading_0" w:id="0"/>
      <w:r>
        <w:rPr>
          <w:rFonts w:eastAsia="等线" w:ascii="Arial" w:cs="Arial" w:hAnsi="Arial"/>
          <w:b w:val="true"/>
          <w:sz w:val="32"/>
        </w:rPr>
        <w:t>I. Research Background and Significance</w:t>
      </w:r>
      <w:bookmarkEnd w:id="0"/>
    </w:p>
    <w:p>
      <w:pPr>
        <w:spacing w:before="120" w:after="120" w:line="288" w:lineRule="auto"/>
        <w:ind w:left="0"/>
        <w:jc w:val="left"/>
      </w:pPr>
      <w:r>
        <w:rPr>
          <w:rFonts w:eastAsia="等线" w:ascii="Arial" w:cs="Arial" w:hAnsi="Arial"/>
          <w:sz w:val="22"/>
        </w:rPr>
        <w:t>With the continuous development of globalization, cultural exchanges between China and other countries have become increasingly frequent. Festivals and customs related to the four seasons are important parts of both Chinese and Western cultures. In spring, summer, autumn and winter, China and the West have formed their own distinctive traditional activities, dietary habits, festival rituals and daily customs. In addition, the corresponding English expressions of these customs are crucial for English learning and the exploration of Western culture.</w:t>
      </w:r>
    </w:p>
    <w:p>
      <w:pPr>
        <w:spacing w:before="120" w:after="120" w:line="288" w:lineRule="auto"/>
        <w:ind w:left="0"/>
        <w:jc w:val="left"/>
      </w:pPr>
      <w:r>
        <w:rPr>
          <w:rFonts w:eastAsia="等线" w:ascii="Arial" w:cs="Arial" w:hAnsi="Arial"/>
          <w:sz w:val="22"/>
        </w:rPr>
        <w:t>Through a comparative study of seasonal customs between China and the West, this research project can help us clarify the differences and cultural connotations of seasonal customs in the two cultural contexts, broaden our cultural horizons and enhance cross-cultural understanding. At the same time, it enables us to systematically learn English vocabulary and expressions related to seasons, festivals and customs, effectively improve our English vocabulary and language application abilities, and thus use English more accurately and appropriately in cross-cultural communication to reduce cultural misunderstandings. Furthermore, it can cultivate our interest in learning English and Chinese and Western cultures, as well as enhance our independent learning and research capabilities. Therefore, this research project has practical value for learning and exploration.</w:t>
      </w:r>
    </w:p>
    <w:p>
      <w:pPr>
        <w:pStyle w:val="2"/>
        <w:spacing w:before="320" w:after="120" w:line="288" w:lineRule="auto"/>
        <w:ind w:left="0"/>
        <w:jc w:val="left"/>
        <w:outlineLvl w:val="1"/>
      </w:pPr>
      <w:bookmarkStart w:name="heading_1" w:id="1"/>
      <w:r>
        <w:rPr>
          <w:rFonts w:eastAsia="等线" w:ascii="Arial" w:cs="Arial" w:hAnsi="Arial"/>
          <w:b w:val="true"/>
          <w:sz w:val="32"/>
        </w:rPr>
        <w:t>II. Research Objectives</w:t>
      </w:r>
      <w:bookmarkEnd w:id="1"/>
    </w:p>
    <w:p>
      <w:pPr>
        <w:spacing w:before="120" w:after="120" w:line="288" w:lineRule="auto"/>
        <w:ind w:left="0"/>
        <w:jc w:val="left"/>
      </w:pPr>
      <w:r>
        <w:rPr>
          <w:rFonts w:eastAsia="等线" w:ascii="Arial" w:cs="Arial" w:hAnsi="Arial"/>
          <w:sz w:val="22"/>
        </w:rPr>
        <w:t>1. Systematically sort out the seasonal customs of China and the West, and understand the cultural differences and connotations between different cultures through comparison, so as to broaden our cultural horizons.</w:t>
      </w:r>
    </w:p>
    <w:p>
      <w:pPr>
        <w:spacing w:before="120" w:after="120" w:line="288" w:lineRule="auto"/>
        <w:ind w:left="0"/>
        <w:jc w:val="left"/>
      </w:pPr>
      <w:r>
        <w:rPr>
          <w:rFonts w:eastAsia="等线" w:ascii="Arial" w:cs="Arial" w:hAnsi="Arial"/>
          <w:sz w:val="22"/>
        </w:rPr>
        <w:t>2. Learn English words and expressions related to the four seasons, festivals and customs, and improve our English vocabulary and language application abilities.</w:t>
      </w:r>
    </w:p>
    <w:p>
      <w:pPr>
        <w:pStyle w:val="2"/>
        <w:spacing w:before="320" w:after="120" w:line="288" w:lineRule="auto"/>
        <w:ind w:left="0"/>
        <w:jc w:val="left"/>
        <w:outlineLvl w:val="1"/>
      </w:pPr>
      <w:bookmarkStart w:name="heading_2" w:id="2"/>
      <w:r>
        <w:rPr>
          <w:rFonts w:eastAsia="等线" w:ascii="Arial" w:cs="Arial" w:hAnsi="Arial"/>
          <w:b w:val="true"/>
          <w:sz w:val="32"/>
        </w:rPr>
        <w:t>III. Research Content and Methods</w:t>
      </w:r>
      <w:bookmarkEnd w:id="2"/>
    </w:p>
    <w:p>
      <w:pPr>
        <w:pStyle w:val="3"/>
        <w:spacing w:before="300" w:after="120" w:line="288" w:lineRule="auto"/>
        <w:ind w:left="0"/>
        <w:jc w:val="left"/>
        <w:outlineLvl w:val="2"/>
      </w:pPr>
      <w:bookmarkStart w:name="heading_3" w:id="3"/>
      <w:r>
        <w:rPr>
          <w:rFonts w:eastAsia="等线" w:ascii="Arial" w:cs="Arial" w:hAnsi="Arial"/>
          <w:b w:val="true"/>
          <w:sz w:val="30"/>
        </w:rPr>
        <w:t>1. Research Content</w:t>
      </w:r>
      <w:bookmarkEnd w:id="3"/>
    </w:p>
    <w:p>
      <w:pPr>
        <w:spacing w:before="120" w:after="120" w:line="288" w:lineRule="auto"/>
        <w:ind w:left="0"/>
        <w:jc w:val="left"/>
      </w:pPr>
      <w:r>
        <w:rPr>
          <w:rFonts w:eastAsia="等线" w:ascii="Arial" w:cs="Arial" w:hAnsi="Arial"/>
          <w:sz w:val="22"/>
        </w:rPr>
        <w:t>This research focuses on the seasonal customs of China and the West and their corresponding English expressions. It explores traditional Chinese customs such as the Spring Festival, the Dragon Boat Festival, the Mid-Autumn Festival and the Winter Solstice, as well as Western customs including Easter, Thanksgiving and Christmas, classified by season. It also compares their similarities, differences and cultural connotations, collects and organizes English words, phrases and sentence patterns corresponding to each custom, marks common mistakes and usage skills, and compiles them into a systematic comparative summary and English learning materials.</w:t>
      </w:r>
    </w:p>
    <w:p>
      <w:pPr>
        <w:pStyle w:val="3"/>
        <w:spacing w:before="300" w:after="120" w:line="288" w:lineRule="auto"/>
        <w:ind w:left="0"/>
        <w:jc w:val="left"/>
        <w:outlineLvl w:val="2"/>
      </w:pPr>
      <w:bookmarkStart w:name="heading_4" w:id="4"/>
      <w:r>
        <w:rPr>
          <w:rFonts w:eastAsia="等线" w:ascii="Arial" w:cs="Arial" w:hAnsi="Arial"/>
          <w:b w:val="true"/>
          <w:sz w:val="30"/>
        </w:rPr>
        <w:t>2. Research Methods</w:t>
      </w:r>
      <w:bookmarkEnd w:id="4"/>
    </w:p>
    <w:p>
      <w:pPr>
        <w:numPr>
          <w:numId w:val="1"/>
        </w:numPr>
        <w:spacing w:before="120" w:after="120" w:line="288" w:lineRule="auto"/>
        <w:ind w:left="0"/>
        <w:jc w:val="left"/>
      </w:pPr>
      <w:r>
        <w:rPr>
          <w:rFonts w:eastAsia="等线" w:ascii="Arial" w:cs="Arial" w:hAnsi="Arial"/>
          <w:b w:val="true"/>
          <w:sz w:val="22"/>
        </w:rPr>
        <w:t>Literature Research Method</w:t>
      </w:r>
      <w:r>
        <w:rPr>
          <w:rFonts w:eastAsia="等线" w:ascii="Arial" w:cs="Arial" w:hAnsi="Arial"/>
          <w:sz w:val="22"/>
        </w:rPr>
        <w:t>: Consult books, articles, paintings and English learning materials related to Chinese and Western seasonal customs to sort out the core content.</w:t>
      </w:r>
    </w:p>
    <w:p>
      <w:pPr>
        <w:numPr>
          <w:numId w:val="2"/>
        </w:numPr>
        <w:spacing w:before="120" w:after="120" w:line="288" w:lineRule="auto"/>
        <w:ind w:left="0"/>
        <w:jc w:val="left"/>
      </w:pPr>
      <w:r>
        <w:rPr>
          <w:rFonts w:eastAsia="等线" w:ascii="Arial" w:cs="Arial" w:hAnsi="Arial"/>
          <w:b w:val="true"/>
          <w:sz w:val="22"/>
        </w:rPr>
        <w:t>Comparative Analysis Method</w:t>
      </w:r>
      <w:r>
        <w:rPr>
          <w:rFonts w:eastAsia="等线" w:ascii="Arial" w:cs="Arial" w:hAnsi="Arial"/>
          <w:sz w:val="22"/>
        </w:rPr>
        <w:t>: Compare the cultural and expressive differences of seasonal customs between China and the West.</w:t>
      </w:r>
    </w:p>
    <w:p>
      <w:pPr>
        <w:numPr>
          <w:numId w:val="3"/>
        </w:numPr>
        <w:spacing w:before="120" w:after="120" w:line="288" w:lineRule="auto"/>
        <w:ind w:left="0"/>
        <w:jc w:val="left"/>
      </w:pPr>
      <w:r>
        <w:rPr>
          <w:rFonts w:eastAsia="等线" w:ascii="Arial" w:cs="Arial" w:hAnsi="Arial"/>
          <w:b w:val="true"/>
          <w:sz w:val="22"/>
        </w:rPr>
        <w:t>Data Compilation Method</w:t>
      </w:r>
      <w:r>
        <w:rPr>
          <w:rFonts w:eastAsia="等线" w:ascii="Arial" w:cs="Arial" w:hAnsi="Arial"/>
          <w:sz w:val="22"/>
        </w:rPr>
        <w:t>: Classify and organize English materials and research data related to various customs.</w:t>
      </w:r>
    </w:p>
    <w:p>
      <w:pPr>
        <w:pStyle w:val="2"/>
        <w:spacing w:before="320" w:after="120" w:line="288" w:lineRule="auto"/>
        <w:ind w:left="0"/>
        <w:jc w:val="left"/>
        <w:outlineLvl w:val="1"/>
      </w:pPr>
      <w:bookmarkStart w:name="heading_5" w:id="5"/>
      <w:r>
        <w:rPr>
          <w:rFonts w:eastAsia="等线" w:ascii="Arial" w:cs="Arial" w:hAnsi="Arial"/>
          <w:b w:val="true"/>
          <w:sz w:val="32"/>
        </w:rPr>
        <w:t>IV. Research Plan</w:t>
      </w:r>
      <w:bookmarkEnd w:id="5"/>
    </w:p>
    <w:tbl>
      <w:tblPr>
        <w:tblW w:w="0" w:type="auto"/>
        <w:tblInd w:w="0" w:type="dxa"/>
        <w:tblBorders>
          <w:top w:val="single" w:color="dee0e3"/>
          <w:left w:val="single" w:color="dee0e3"/>
          <w:bottom w:val="single" w:color="dee0e3"/>
          <w:right w:val="single" w:color="dee0e3"/>
          <w:insideH w:val="single" w:color="dee0e3"/>
          <w:insideV w:val="single" w:color="dee0e3"/>
        </w:tblBorders>
        <w:tblLayout w:type="fixed"/>
      </w:tblPr>
      <w:tblGrid>
        <w:gridCol w:w="2760"/>
        <w:gridCol w:w="2760"/>
        <w:gridCol w:w="2760"/>
      </w:tblGrid>
      <w:tr>
        <w:tc>
          <w:tcPr>
            <w:tcW w:w="2760" w:type="dxa"/>
            <w:tcMar>
              <w:top w:type="dxa" w:w="60"/>
              <w:left w:type="dxa" w:w="120"/>
              <w:bottom w:type="dxa" w:w="30"/>
              <w:right w:type="dxa" w:w="120"/>
            </w:tcMar>
          </w:tcPr>
          <w:p>
            <w:pPr>
              <w:spacing w:before="120" w:after="120" w:line="288" w:lineRule="auto"/>
              <w:ind w:left="0"/>
              <w:jc w:val="left"/>
            </w:pPr>
            <w:r>
              <w:rPr>
                <w:rFonts w:eastAsia="等线" w:ascii="Arial" w:cs="Arial" w:hAnsi="Arial"/>
                <w:sz w:val="22"/>
              </w:rPr>
              <w:t>Research Steps</w:t>
            </w:r>
          </w:p>
        </w:tc>
        <w:tc>
          <w:tcPr>
            <w:tcW w:w="2760" w:type="dxa"/>
            <w:tcMar>
              <w:top w:type="dxa" w:w="60"/>
              <w:left w:type="dxa" w:w="120"/>
              <w:bottom w:type="dxa" w:w="30"/>
              <w:right w:type="dxa" w:w="120"/>
            </w:tcMar>
          </w:tcPr>
          <w:p>
            <w:pPr>
              <w:spacing w:before="120" w:after="120" w:line="288" w:lineRule="auto"/>
              <w:ind w:left="0"/>
              <w:jc w:val="left"/>
            </w:pPr>
            <w:r>
              <w:rPr>
                <w:rFonts w:eastAsia="等线" w:ascii="Arial" w:cs="Arial" w:hAnsi="Arial"/>
                <w:sz w:val="22"/>
              </w:rPr>
              <w:t>Timeframe</w:t>
            </w:r>
          </w:p>
        </w:tc>
        <w:tc>
          <w:tcPr>
            <w:tcW w:w="2760" w:type="dxa"/>
            <w:tcMar>
              <w:top w:type="dxa" w:w="60"/>
              <w:left w:type="dxa" w:w="120"/>
              <w:bottom w:type="dxa" w:w="30"/>
              <w:right w:type="dxa" w:w="120"/>
            </w:tcMar>
          </w:tcPr>
          <w:p>
            <w:pPr>
              <w:spacing w:before="120" w:after="120" w:line="288" w:lineRule="auto"/>
              <w:ind w:left="0"/>
              <w:jc w:val="left"/>
            </w:pPr>
            <w:r>
              <w:rPr>
                <w:rFonts w:eastAsia="等线" w:ascii="Arial" w:cs="Arial" w:hAnsi="Arial"/>
                <w:sz w:val="22"/>
              </w:rPr>
              <w:t>Specific Arrangements</w:t>
            </w:r>
          </w:p>
        </w:tc>
      </w:tr>
      <w:tr>
        <w:tc>
          <w:tcPr>
            <w:tcW w:w="2760" w:type="dxa"/>
            <w:tcMar>
              <w:top w:type="dxa" w:w="60"/>
              <w:left w:type="dxa" w:w="120"/>
              <w:bottom w:type="dxa" w:w="30"/>
              <w:right w:type="dxa" w:w="120"/>
            </w:tcMar>
          </w:tcPr>
          <w:p>
            <w:pPr>
              <w:spacing w:before="120" w:after="120" w:line="288" w:lineRule="auto"/>
              <w:ind w:left="0"/>
              <w:jc w:val="left"/>
            </w:pPr>
            <w:r>
              <w:rPr>
                <w:rFonts w:eastAsia="等线" w:ascii="Arial" w:cs="Arial" w:hAnsi="Arial"/>
                <w:sz w:val="22"/>
              </w:rPr>
              <w:t>Define the research scope and initially collect and organize data</w:t>
            </w:r>
          </w:p>
        </w:tc>
        <w:tc>
          <w:tcPr>
            <w:tcW w:w="2760" w:type="dxa"/>
            <w:tcMar>
              <w:top w:type="dxa" w:w="60"/>
              <w:left w:type="dxa" w:w="120"/>
              <w:bottom w:type="dxa" w:w="30"/>
              <w:right w:type="dxa" w:w="120"/>
            </w:tcMar>
          </w:tcPr>
          <w:p>
            <w:pPr>
              <w:spacing w:before="120" w:after="120" w:line="288" w:lineRule="auto"/>
              <w:ind w:left="0"/>
              <w:jc w:val="left"/>
            </w:pPr>
            <w:r>
              <w:rPr>
                <w:rFonts w:eastAsia="等线" w:ascii="Arial" w:cs="Arial" w:hAnsi="Arial"/>
                <w:sz w:val="22"/>
              </w:rPr>
              <w:t>Days 1-3</w:t>
            </w:r>
          </w:p>
        </w:tc>
        <w:tc>
          <w:tcPr>
            <w:tcW w:w="2760" w:type="dxa"/>
            <w:tcMar>
              <w:top w:type="dxa" w:w="60"/>
              <w:left w:type="dxa" w:w="120"/>
              <w:bottom w:type="dxa" w:w="30"/>
              <w:right w:type="dxa" w:w="120"/>
            </w:tcMar>
          </w:tcPr>
          <w:p>
            <w:pPr>
              <w:spacing w:before="120" w:after="120" w:line="288" w:lineRule="auto"/>
              <w:ind w:left="0"/>
              <w:jc w:val="left"/>
            </w:pPr>
            <w:r>
              <w:rPr>
                <w:rFonts w:eastAsia="等线" w:ascii="Arial" w:cs="Arial" w:hAnsi="Arial"/>
                <w:sz w:val="22"/>
              </w:rPr>
              <w:t>Clarify the research scope of core seasonal customs in China and the West;</w:t>
            </w:r>
            <w:r>
              <w:rPr>
                <w:rFonts w:eastAsia="等线" w:ascii="Arial" w:cs="Arial" w:hAnsi="Arial"/>
                <w:sz w:val="22"/>
              </w:rPr>
              <w:t xml:space="preserve"> search for relevant books, articles and English learning materials using the</w:t>
            </w:r>
            <w:r>
              <w:rPr>
                <w:rFonts w:eastAsia="等线" w:ascii="Arial" w:cs="Arial" w:hAnsi="Arial"/>
                <w:sz w:val="22"/>
              </w:rPr>
              <w:t xml:space="preserve"> above keywords; conduct preliminary classification of the collected data and complete</w:t>
            </w:r>
            <w:r>
              <w:rPr>
                <w:rFonts w:eastAsia="等线" w:ascii="Arial" w:cs="Arial" w:hAnsi="Arial"/>
                <w:sz w:val="22"/>
              </w:rPr>
              <w:t xml:space="preserve"> the first draft of data compilation.</w:t>
            </w:r>
          </w:p>
        </w:tc>
      </w:tr>
      <w:tr>
        <w:tc>
          <w:tcPr>
            <w:tcW w:w="2760" w:type="dxa"/>
            <w:tcMar>
              <w:top w:type="dxa" w:w="60"/>
              <w:left w:type="dxa" w:w="120"/>
              <w:bottom w:type="dxa" w:w="30"/>
              <w:right w:type="dxa" w:w="120"/>
            </w:tcMar>
          </w:tcPr>
          <w:p>
            <w:pPr>
              <w:spacing w:before="120" w:after="120" w:line="288" w:lineRule="auto"/>
              <w:ind w:left="0"/>
              <w:jc w:val="left"/>
            </w:pPr>
            <w:r>
              <w:rPr>
                <w:rFonts w:eastAsia="等线" w:ascii="Arial" w:cs="Arial" w:hAnsi="Arial"/>
                <w:sz w:val="22"/>
              </w:rPr>
              <w:t>Sort out customs by season and conduct preliminary comparative analysis</w:t>
            </w:r>
          </w:p>
        </w:tc>
        <w:tc>
          <w:tcPr>
            <w:tcW w:w="2760" w:type="dxa"/>
            <w:tcMar>
              <w:top w:type="dxa" w:w="60"/>
              <w:left w:type="dxa" w:w="120"/>
              <w:bottom w:type="dxa" w:w="30"/>
              <w:right w:type="dxa" w:w="120"/>
            </w:tcMar>
          </w:tcPr>
          <w:p>
            <w:pPr>
              <w:spacing w:before="120" w:after="120" w:line="288" w:lineRule="auto"/>
              <w:ind w:left="0"/>
              <w:jc w:val="left"/>
            </w:pPr>
            <w:r>
              <w:rPr>
                <w:rFonts w:eastAsia="等线" w:ascii="Arial" w:cs="Arial" w:hAnsi="Arial"/>
                <w:sz w:val="22"/>
              </w:rPr>
              <w:t>Days 4-7</w:t>
            </w:r>
          </w:p>
        </w:tc>
        <w:tc>
          <w:tcPr>
            <w:tcW w:w="2760" w:type="dxa"/>
            <w:tcMar>
              <w:top w:type="dxa" w:w="60"/>
              <w:left w:type="dxa" w:w="120"/>
              <w:bottom w:type="dxa" w:w="30"/>
              <w:right w:type="dxa" w:w="120"/>
            </w:tcMar>
          </w:tcPr>
          <w:p>
            <w:pPr>
              <w:spacing w:before="120" w:after="120" w:line="288" w:lineRule="auto"/>
              <w:ind w:left="0"/>
              <w:jc w:val="left"/>
            </w:pPr>
            <w:r>
              <w:rPr>
                <w:rFonts w:eastAsia="等线" w:ascii="Arial" w:cs="Arial" w:hAnsi="Arial"/>
                <w:sz w:val="22"/>
              </w:rPr>
              <w:t>Sort out the core seasonal customs of China and the West by spring</w:t>
            </w:r>
            <w:r>
              <w:rPr>
                <w:rFonts w:eastAsia="等线" w:ascii="Arial" w:cs="Arial" w:hAnsi="Arial"/>
                <w:sz w:val="22"/>
              </w:rPr>
              <w:t>, summer, autumn and winter respectively; record the standard English</w:t>
            </w:r>
            <w:r>
              <w:rPr>
                <w:rFonts w:eastAsia="等线" w:ascii="Arial" w:cs="Arial" w:hAnsi="Arial"/>
                <w:sz w:val="22"/>
              </w:rPr>
              <w:t xml:space="preserve"> expressions corresponding to each custom; complete the preliminary comparison of customs</w:t>
            </w:r>
            <w:r>
              <w:rPr>
                <w:rFonts w:eastAsia="等线" w:ascii="Arial" w:cs="Arial" w:hAnsi="Arial"/>
                <w:sz w:val="22"/>
              </w:rPr>
              <w:t xml:space="preserve"> in the same season and fill in the activity record form.</w:t>
            </w:r>
          </w:p>
        </w:tc>
      </w:tr>
      <w:tr>
        <w:tc>
          <w:tcPr>
            <w:tcW w:w="2760" w:type="dxa"/>
            <w:tcMar>
              <w:top w:type="dxa" w:w="60"/>
              <w:left w:type="dxa" w:w="120"/>
              <w:bottom w:type="dxa" w:w="30"/>
              <w:right w:type="dxa" w:w="120"/>
            </w:tcMar>
          </w:tcPr>
          <w:p>
            <w:pPr>
              <w:spacing w:before="120" w:after="120" w:line="288" w:lineRule="auto"/>
              <w:ind w:left="0"/>
              <w:jc w:val="left"/>
            </w:pPr>
            <w:r>
              <w:rPr>
                <w:rFonts w:eastAsia="等线" w:ascii="Arial" w:cs="Arial" w:hAnsi="Arial"/>
                <w:sz w:val="22"/>
              </w:rPr>
              <w:t>Refine the comparison and supplement process materials</w:t>
            </w:r>
          </w:p>
        </w:tc>
        <w:tc>
          <w:tcPr>
            <w:tcW w:w="2760" w:type="dxa"/>
            <w:tcMar>
              <w:top w:type="dxa" w:w="60"/>
              <w:left w:type="dxa" w:w="120"/>
              <w:bottom w:type="dxa" w:w="30"/>
              <w:right w:type="dxa" w:w="120"/>
            </w:tcMar>
          </w:tcPr>
          <w:p>
            <w:pPr>
              <w:spacing w:before="120" w:after="120" w:line="288" w:lineRule="auto"/>
              <w:ind w:left="0"/>
              <w:jc w:val="left"/>
            </w:pPr>
            <w:r>
              <w:rPr>
                <w:rFonts w:eastAsia="等线" w:ascii="Arial" w:cs="Arial" w:hAnsi="Arial"/>
                <w:sz w:val="22"/>
              </w:rPr>
              <w:t>Days 8-10</w:t>
            </w:r>
          </w:p>
        </w:tc>
        <w:tc>
          <w:tcPr>
            <w:tcW w:w="2760" w:type="dxa"/>
            <w:tcMar>
              <w:top w:type="dxa" w:w="60"/>
              <w:left w:type="dxa" w:w="120"/>
              <w:bottom w:type="dxa" w:w="30"/>
              <w:right w:type="dxa" w:w="120"/>
            </w:tcMar>
          </w:tcPr>
          <w:p>
            <w:pPr>
              <w:spacing w:before="120" w:after="120" w:line="288" w:lineRule="auto"/>
              <w:ind w:left="0"/>
              <w:jc w:val="left"/>
            </w:pPr>
            <w:r>
              <w:rPr>
                <w:rFonts w:eastAsia="等线" w:ascii="Arial" w:cs="Arial" w:hAnsi="Arial"/>
                <w:sz w:val="22"/>
              </w:rPr>
              <w:t>Improve the content of the comparative study on</w:t>
            </w:r>
            <w:r>
              <w:rPr>
                <w:rFonts w:eastAsia="等线" w:ascii="Arial" w:cs="Arial" w:hAnsi="Arial"/>
                <w:sz w:val="22"/>
              </w:rPr>
              <w:t xml:space="preserve"> Chinese and Western seasonal customs; analyze the cultural reasons behind the</w:t>
            </w:r>
            <w:r>
              <w:rPr>
                <w:rFonts w:eastAsia="等线" w:ascii="Arial" w:cs="Arial" w:hAnsi="Arial"/>
                <w:sz w:val="22"/>
              </w:rPr>
              <w:t xml:space="preserve"> differences; organize English materials and mark common mistakes; write an</w:t>
            </w:r>
            <w:r>
              <w:rPr>
                <w:rFonts w:eastAsia="等线" w:ascii="Arial" w:cs="Arial" w:hAnsi="Arial"/>
                <w:sz w:val="22"/>
              </w:rPr>
              <w:t xml:space="preserve"> observation report (optional); supplement process materials such as data excerpts</w:t>
            </w:r>
            <w:r>
              <w:rPr>
                <w:rFonts w:eastAsia="等线" w:ascii="Arial" w:cs="Arial" w:hAnsi="Arial"/>
                <w:sz w:val="22"/>
              </w:rPr>
              <w:t xml:space="preserve"> and research drafts.</w:t>
            </w:r>
          </w:p>
        </w:tc>
      </w:tr>
      <w:tr>
        <w:tc>
          <w:tcPr>
            <w:tcW w:w="2760" w:type="dxa"/>
            <w:tcMar>
              <w:top w:type="dxa" w:w="60"/>
              <w:left w:type="dxa" w:w="120"/>
              <w:bottom w:type="dxa" w:w="30"/>
              <w:right w:type="dxa" w:w="120"/>
            </w:tcMar>
          </w:tcPr>
          <w:p>
            <w:pPr>
              <w:spacing w:before="120" w:after="120" w:line="288" w:lineRule="auto"/>
              <w:ind w:left="0"/>
              <w:jc w:val="left"/>
            </w:pPr>
            <w:r>
              <w:rPr>
                <w:rFonts w:eastAsia="等线" w:ascii="Arial" w:cs="Arial" w:hAnsi="Arial"/>
                <w:sz w:val="22"/>
              </w:rPr>
              <w:t>Summarize the research and polish the research outcomes</w:t>
            </w:r>
          </w:p>
        </w:tc>
        <w:tc>
          <w:tcPr>
            <w:tcW w:w="2760" w:type="dxa"/>
            <w:tcMar>
              <w:top w:type="dxa" w:w="60"/>
              <w:left w:type="dxa" w:w="120"/>
              <w:bottom w:type="dxa" w:w="30"/>
              <w:right w:type="dxa" w:w="120"/>
            </w:tcMar>
          </w:tcPr>
          <w:p>
            <w:pPr>
              <w:spacing w:before="120" w:after="120" w:line="288" w:lineRule="auto"/>
              <w:ind w:left="0"/>
              <w:jc w:val="left"/>
            </w:pPr>
            <w:r>
              <w:rPr>
                <w:rFonts w:eastAsia="等线" w:ascii="Arial" w:cs="Arial" w:hAnsi="Arial"/>
                <w:sz w:val="22"/>
              </w:rPr>
              <w:t>Days 11-12</w:t>
            </w:r>
          </w:p>
        </w:tc>
        <w:tc>
          <w:tcPr>
            <w:tcW w:w="2760" w:type="dxa"/>
            <w:tcMar>
              <w:top w:type="dxa" w:w="60"/>
              <w:left w:type="dxa" w:w="120"/>
              <w:bottom w:type="dxa" w:w="30"/>
              <w:right w:type="dxa" w:w="120"/>
            </w:tcMar>
          </w:tcPr>
          <w:p>
            <w:pPr>
              <w:spacing w:before="120" w:after="120" w:line="288" w:lineRule="auto"/>
              <w:ind w:left="0"/>
              <w:jc w:val="left"/>
            </w:pPr>
            <w:r>
              <w:rPr>
                <w:rFonts w:eastAsia="等线" w:ascii="Arial" w:cs="Arial" w:hAnsi="Arial"/>
                <w:sz w:val="22"/>
              </w:rPr>
              <w:t>Summarize all research content; revise and improve the research proposal;</w:t>
            </w:r>
            <w:r>
              <w:rPr>
                <w:rFonts w:eastAsia="等线" w:ascii="Arial" w:cs="Arial" w:hAnsi="Arial"/>
                <w:sz w:val="22"/>
              </w:rPr>
              <w:t xml:space="preserve"> organize materials related to the expected research outcomes; verify the accuracy</w:t>
            </w:r>
            <w:r>
              <w:rPr>
                <w:rFonts w:eastAsia="等线" w:ascii="Arial" w:cs="Arial" w:hAnsi="Arial"/>
                <w:sz w:val="22"/>
              </w:rPr>
              <w:t xml:space="preserve"> of all content; complete the research conclusion and make preparations for</w:t>
            </w:r>
            <w:r>
              <w:rPr>
                <w:rFonts w:eastAsia="等线" w:ascii="Arial" w:cs="Arial" w:hAnsi="Arial"/>
                <w:sz w:val="22"/>
              </w:rPr>
              <w:t xml:space="preserve"> submission.</w:t>
            </w:r>
          </w:p>
        </w:tc>
      </w:tr>
    </w:tbl>
    <w:p>
      <w:pPr>
        <w:pStyle w:val="2"/>
        <w:spacing w:before="320" w:after="120" w:line="288" w:lineRule="auto"/>
        <w:ind w:left="0"/>
        <w:jc w:val="left"/>
        <w:outlineLvl w:val="1"/>
      </w:pPr>
      <w:bookmarkStart w:name="heading_6" w:id="6"/>
      <w:r>
        <w:rPr>
          <w:rFonts w:eastAsia="等线" w:ascii="Arial" w:cs="Arial" w:hAnsi="Arial"/>
          <w:b w:val="true"/>
          <w:sz w:val="32"/>
        </w:rPr>
        <w:t>V. Expected Research Outcomes</w:t>
      </w:r>
      <w:bookmarkEnd w:id="6"/>
    </w:p>
    <w:p>
      <w:pPr>
        <w:spacing w:before="120" w:after="120" w:line="288" w:lineRule="auto"/>
        <w:ind w:left="0"/>
        <w:jc w:val="left"/>
      </w:pPr>
      <w:r>
        <w:rPr>
          <w:rFonts w:eastAsia="等线" w:ascii="Arial" w:cs="Arial" w:hAnsi="Arial"/>
          <w:sz w:val="22"/>
        </w:rPr>
        <w:t>1. A complete and standardized research proposal that clearly presents core modules such as research content, research methods and research plan, meeting the requirements for research proposal submission.</w:t>
      </w:r>
    </w:p>
    <w:p>
      <w:pPr>
        <w:spacing w:before="120" w:after="120" w:line="288" w:lineRule="auto"/>
        <w:ind w:left="0"/>
        <w:jc w:val="left"/>
      </w:pPr>
      <w:r>
        <w:rPr>
          <w:rFonts w:eastAsia="等线" w:ascii="Arial" w:cs="Arial" w:hAnsi="Arial"/>
          <w:sz w:val="22"/>
        </w:rPr>
        <w:t xml:space="preserve">2. A document titled </w:t>
      </w:r>
      <w:r>
        <w:rPr>
          <w:rFonts w:eastAsia="等线" w:ascii="Arial" w:cs="Arial" w:hAnsi="Arial"/>
          <w:i w:val="true"/>
          <w:sz w:val="22"/>
        </w:rPr>
        <w:t>A Comparative Summary of Seasonal Customs between China and the West</w:t>
      </w:r>
      <w:r>
        <w:rPr>
          <w:rFonts w:eastAsia="等线" w:ascii="Arial" w:cs="Arial" w:hAnsi="Arial"/>
          <w:sz w:val="22"/>
        </w:rPr>
        <w:t>, which clarifies the similarities, differences and cultural connotations of seasonal customs, along with corresponding English expressions and marked incorrect translation points.</w:t>
      </w:r>
    </w:p>
    <w:p>
      <w:pPr>
        <w:spacing w:before="120" w:after="120" w:line="288" w:lineRule="auto"/>
        <w:ind w:left="0"/>
        <w:jc w:val="left"/>
      </w:pPr>
      <w:r>
        <w:rPr>
          <w:rFonts w:eastAsia="等线" w:ascii="Arial" w:cs="Arial" w:hAnsi="Arial"/>
          <w:sz w:val="22"/>
        </w:rPr>
        <w:t xml:space="preserve">3. A </w:t>
      </w:r>
      <w:r>
        <w:rPr>
          <w:rFonts w:eastAsia="等线" w:ascii="Arial" w:cs="Arial" w:hAnsi="Arial"/>
          <w:i w:val="true"/>
          <w:sz w:val="22"/>
        </w:rPr>
        <w:t>Handbook of English Learning Materials for Seasonal Customs</w:t>
      </w:r>
      <w:r>
        <w:rPr>
          <w:rFonts w:eastAsia="等线" w:ascii="Arial" w:cs="Arial" w:hAnsi="Arial"/>
          <w:sz w:val="22"/>
        </w:rPr>
        <w:t>, which compiles relevant English words, phrases and sentence patterns classified by season and custom type, adapting to the needs of English learning.</w:t>
      </w:r>
    </w:p>
    <w:p>
      <w:pPr>
        <w:spacing w:before="120" w:after="120" w:line="288" w:lineRule="auto"/>
        <w:ind w:left="0"/>
        <w:jc w:val="left"/>
      </w:pPr>
      <w:r>
        <w:rPr>
          <w:rFonts w:eastAsia="等线" w:ascii="Arial" w:cs="Arial" w:hAnsi="Arial"/>
          <w:sz w:val="22"/>
        </w:rPr>
        <w:t>4. A full set of process materials, including data excerpts, activity record forms, observation reports (optional) and research drafts, which fully present the entire research process.</w:t>
      </w:r>
    </w:p>
    <w:p>
      <w:pPr>
        <w:spacing w:before="120" w:after="120" w:line="288" w:lineRule="auto"/>
        <w:ind w:left="0"/>
        <w:jc w:val="left"/>
      </w:pPr>
      <w:r>
        <w:rPr>
          <w:rFonts w:eastAsia="等线" w:ascii="Arial" w:cs="Arial" w:hAnsi="Arial"/>
          <w:sz w:val="22"/>
        </w:rPr>
        <w:t>5. A PPT that intuitively displays the comparison of Chinese and Western seasonal customs and their corresponding English expressions, supporting the presentation of research outcomes.</w:t>
      </w:r>
    </w:p>
    <w:p>
      <w:pPr>
        <w:spacing w:before="120" w:after="120" w:line="288" w:lineRule="auto"/>
        <w:ind w:left="0"/>
        <w:jc w:val="left"/>
      </w:pPr>
      <w:r>
        <w:rPr>
          <w:rFonts w:eastAsia="等线" w:ascii="Arial" w:cs="Arial" w:hAnsi="Arial"/>
          <w:sz w:val="22"/>
        </w:rPr>
        <w:t>|（注：文档部分内容可能由 AI 生成)</w:t>
      </w:r>
    </w:p>
    <w:sectPr>
      <w:footerReference w:type="default" r:id="rId3"/>
      <w:headerReference w:type="default" r:id="rId5"/>
      <w:pgSz w:orient="portrait" w:h="16840" w:w="11905"/>
    </w:sectPr>
  </w:body>
</w: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141305">
    <w:lvl>
      <w:numFmt w:val="bullet"/>
      <w:suff w:val="tab"/>
      <w:lvlText w:val="•"/>
      <w:rPr>
        <w:color w:val="3370ff"/>
      </w:rPr>
    </w:lvl>
  </w:abstractNum>
  <w:abstractNum w:abstractNumId="141306">
    <w:lvl>
      <w:numFmt w:val="bullet"/>
      <w:suff w:val="tab"/>
      <w:lvlText w:val="•"/>
      <w:rPr>
        <w:color w:val="3370ff"/>
      </w:rPr>
    </w:lvl>
  </w:abstractNum>
  <w:abstractNum w:abstractNumId="141307">
    <w:lvl>
      <w:numFmt w:val="bullet"/>
      <w:suff w:val="tab"/>
      <w:lvlText w:val="•"/>
      <w:rPr>
        <w:color w:val="3370ff"/>
      </w:rPr>
    </w:lvl>
  </w:abstractNum>
  <w:num w:numId="1">
    <w:abstractNumId w:val="141305"/>
  </w:num>
  <w:num w:numId="2">
    <w:abstractNumId w:val="141306"/>
  </w:num>
  <w:num w:numId="3">
    <w:abstractNumId w:val="141307"/>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Relationships xmlns="http://schemas.openxmlformats.org/package/2006/relationships"><Relationship Id="rId1" Target="settings.xml" Type="http://schemas.openxmlformats.org/officeDocument/2006/relationships/settings"/><Relationship Id="rId2" Target="styles.xml" Type="http://schemas.openxmlformats.org/officeDocument/2006/relationships/styles"/><Relationship Id="rId3" Target="footer1.xml" Type="http://schemas.openxmlformats.org/officeDocument/2006/relationships/footer"/><Relationship Id="rId4" Target="numbering.xml" Type="http://schemas.openxmlformats.org/officeDocument/2006/relationships/numbering"/><Relationship Id="rId5" Target="header1.xml" Type="http://schemas.openxmlformats.org/officeDocument/2006/relationships/header"/></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2026-03-03T12:38:44Z</dcterms:created>
  <dc:creator>Apache POI</dc:creator>
</cp:coreProperties>
</file>